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D" w:rsidRDefault="00C1710B">
      <w:pPr>
        <w:jc w:val="center"/>
      </w:pPr>
      <w:r>
        <w:rPr>
          <w:b/>
          <w:sz w:val="28"/>
          <w:szCs w:val="28"/>
        </w:rPr>
        <w:t>THE LORDSHIP LANE SURGERY</w:t>
      </w:r>
    </w:p>
    <w:p w:rsidR="008352FD" w:rsidRDefault="00C1710B">
      <w:pPr>
        <w:jc w:val="center"/>
      </w:pPr>
      <w:r>
        <w:rPr>
          <w:b/>
          <w:sz w:val="28"/>
          <w:szCs w:val="28"/>
        </w:rPr>
        <w:t>Minutes/Action Points – Patient Participation Group Meeting</w:t>
      </w:r>
    </w:p>
    <w:p w:rsidR="008352FD" w:rsidRDefault="00C1710B">
      <w:pPr>
        <w:pStyle w:val="NoSpacing"/>
        <w:jc w:val="center"/>
      </w:pPr>
      <w:r>
        <w:rPr>
          <w:sz w:val="24"/>
          <w:szCs w:val="24"/>
          <w:u w:val="single"/>
        </w:rPr>
        <w:t>Thursday 13</w:t>
      </w:r>
      <w:r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October 2016 at 10.30am</w:t>
      </w:r>
    </w:p>
    <w:p w:rsidR="008352FD" w:rsidRDefault="008352FD">
      <w:pPr>
        <w:pStyle w:val="NoSpacing"/>
        <w:jc w:val="center"/>
      </w:pPr>
    </w:p>
    <w:p w:rsidR="008352FD" w:rsidRDefault="00C1710B">
      <w:pPr>
        <w:pStyle w:val="NoSpacing"/>
        <w:ind w:left="1440" w:hanging="1440"/>
        <w:jc w:val="both"/>
      </w:pPr>
      <w:r>
        <w:rPr>
          <w:sz w:val="20"/>
          <w:szCs w:val="20"/>
        </w:rPr>
        <w:t>Present:</w:t>
      </w:r>
      <w:r>
        <w:rPr>
          <w:sz w:val="20"/>
          <w:szCs w:val="20"/>
        </w:rPr>
        <w:tab/>
        <w:t xml:space="preserve">Mr Saud Doha, Mrs Kathleen Igar, Mr Maurice </w:t>
      </w:r>
      <w:proofErr w:type="spellStart"/>
      <w:r>
        <w:rPr>
          <w:sz w:val="20"/>
          <w:szCs w:val="20"/>
        </w:rPr>
        <w:t>Trotman</w:t>
      </w:r>
      <w:proofErr w:type="spellEnd"/>
      <w:proofErr w:type="gramStart"/>
      <w:r>
        <w:rPr>
          <w:sz w:val="20"/>
          <w:szCs w:val="20"/>
        </w:rPr>
        <w:t>,  Mr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Jamel</w:t>
      </w:r>
      <w:proofErr w:type="spellEnd"/>
      <w:r>
        <w:rPr>
          <w:sz w:val="20"/>
          <w:szCs w:val="20"/>
        </w:rPr>
        <w:t xml:space="preserve"> Ahmed, Ms Lillian </w:t>
      </w:r>
      <w:proofErr w:type="spellStart"/>
      <w:r>
        <w:rPr>
          <w:sz w:val="20"/>
          <w:szCs w:val="20"/>
        </w:rPr>
        <w:t>Barthomolew</w:t>
      </w:r>
      <w:proofErr w:type="spellEnd"/>
      <w:r>
        <w:rPr>
          <w:sz w:val="20"/>
          <w:szCs w:val="20"/>
        </w:rPr>
        <w:t xml:space="preserve">, Ms </w:t>
      </w:r>
      <w:proofErr w:type="spellStart"/>
      <w:r>
        <w:rPr>
          <w:sz w:val="20"/>
          <w:szCs w:val="20"/>
        </w:rPr>
        <w:t>Lurline</w:t>
      </w:r>
      <w:proofErr w:type="spellEnd"/>
      <w:r>
        <w:rPr>
          <w:sz w:val="20"/>
          <w:szCs w:val="20"/>
        </w:rPr>
        <w:t xml:space="preserve"> Scott</w:t>
      </w:r>
    </w:p>
    <w:p w:rsidR="008352FD" w:rsidRDefault="00C1710B">
      <w:pPr>
        <w:pStyle w:val="NoSpacing"/>
        <w:ind w:left="1440" w:hanging="1440"/>
        <w:jc w:val="both"/>
      </w:pPr>
      <w:r>
        <w:rPr>
          <w:sz w:val="20"/>
          <w:szCs w:val="20"/>
        </w:rPr>
        <w:t>)</w:t>
      </w:r>
    </w:p>
    <w:p w:rsidR="008352FD" w:rsidRDefault="008352FD">
      <w:pPr>
        <w:pStyle w:val="NoSpacing"/>
        <w:jc w:val="both"/>
      </w:pPr>
    </w:p>
    <w:tbl>
      <w:tblPr>
        <w:tblW w:w="0" w:type="auto"/>
        <w:tblInd w:w="-3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192"/>
        <w:gridCol w:w="8445"/>
        <w:gridCol w:w="1449"/>
      </w:tblGrid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  <w:u w:val="single"/>
              </w:rPr>
              <w:t xml:space="preserve">Agenda </w:t>
            </w:r>
            <w:r>
              <w:rPr>
                <w:sz w:val="20"/>
                <w:szCs w:val="20"/>
                <w:u w:val="single"/>
              </w:rPr>
              <w:t>Item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  <w:u w:val="single"/>
              </w:rPr>
              <w:t xml:space="preserve">Person </w:t>
            </w:r>
          </w:p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  <w:u w:val="single"/>
              </w:rPr>
              <w:t>Responsible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  <w:u w:val="single"/>
              </w:rPr>
              <w:t>Outcome/Further Action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proofErr w:type="spellStart"/>
            <w:r>
              <w:rPr>
                <w:sz w:val="20"/>
                <w:szCs w:val="20"/>
                <w:u w:val="single"/>
              </w:rPr>
              <w:t>Actioned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By</w:t>
            </w: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Welcome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KI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Minutes of meeting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KI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 xml:space="preserve">A summary of the conclusions of the August meeting was given.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rFonts w:cs="Calibri"/>
              </w:rPr>
              <w:t>Patient survey Sept 2016</w:t>
            </w: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C1710B">
            <w:pPr>
              <w:pStyle w:val="NoSpacing"/>
              <w:jc w:val="both"/>
            </w:pPr>
            <w:r>
              <w:rPr>
                <w:rFonts w:cs="Calibri"/>
              </w:rPr>
              <w:t>Complaints procedures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lastRenderedPageBreak/>
              <w:t xml:space="preserve">SD 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t xml:space="preserve">Patient </w:t>
            </w:r>
            <w:r>
              <w:t>survey discussed:</w:t>
            </w:r>
          </w:p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 xml:space="preserve"> 89</w:t>
            </w:r>
            <w:r>
              <w:rPr>
                <w:b/>
                <w:sz w:val="20"/>
                <w:szCs w:val="20"/>
              </w:rPr>
              <w:t xml:space="preserve">% of patients said they find the receptionists helpful. This is above the national average of 87%. </w:t>
            </w:r>
          </w:p>
          <w:p w:rsidR="008352FD" w:rsidRDefault="008352FD"/>
          <w:p w:rsidR="008352FD" w:rsidRDefault="00C1710B">
            <w:r>
              <w:t xml:space="preserve">The receptionists always try to be as helpful and polite as possible and we thank you for positively reflecting this. </w:t>
            </w:r>
          </w:p>
          <w:p w:rsidR="008352FD" w:rsidRDefault="008352FD"/>
          <w:p w:rsidR="008352FD" w:rsidRDefault="00C1710B">
            <w:r>
              <w:rPr>
                <w:b/>
              </w:rPr>
              <w:t xml:space="preserve">85% were able </w:t>
            </w:r>
            <w:r>
              <w:rPr>
                <w:b/>
              </w:rPr>
              <w:t xml:space="preserve">to get an appointment last time you tried which was alongside the national average of 85%. </w:t>
            </w:r>
          </w:p>
          <w:p w:rsidR="008352FD" w:rsidRDefault="00C1710B">
            <w:r>
              <w:t>JA- commented that this is very good as he is able to get an appointment that suits him and that perhaps it would be good for the practice to have a suggestion box.</w:t>
            </w:r>
          </w:p>
          <w:p w:rsidR="008352FD" w:rsidRDefault="00C1710B">
            <w:r>
              <w:rPr>
                <w:b/>
              </w:rPr>
              <w:t>86%</w:t>
            </w:r>
            <w:r>
              <w:rPr>
                <w:b/>
              </w:rPr>
              <w:t xml:space="preserve"> patients say that the GP was good at explaining tests and treatments to them. </w:t>
            </w:r>
          </w:p>
          <w:p w:rsidR="008352FD" w:rsidRDefault="00C1710B">
            <w:bookmarkStart w:id="0" w:name="__DdeLink__3346_1674617784"/>
            <w:r>
              <w:t>LB- explained that she was happy with her recent tests and that Dr I had provided her with a telephone consultation in order to go through the results.</w:t>
            </w:r>
            <w:bookmarkEnd w:id="0"/>
            <w:r>
              <w:t xml:space="preserve"> </w:t>
            </w:r>
          </w:p>
          <w:p w:rsidR="008352FD" w:rsidRDefault="00C1710B">
            <w:r>
              <w:rPr>
                <w:b/>
              </w:rPr>
              <w:t>95</w:t>
            </w:r>
            <w:proofErr w:type="gramStart"/>
            <w:r>
              <w:rPr>
                <w:b/>
              </w:rPr>
              <w:t>%  had</w:t>
            </w:r>
            <w:proofErr w:type="gramEnd"/>
            <w:r>
              <w:rPr>
                <w:b/>
              </w:rPr>
              <w:t xml:space="preserve"> confidence and</w:t>
            </w:r>
            <w:r>
              <w:rPr>
                <w:b/>
              </w:rPr>
              <w:t xml:space="preserve"> trust in the last GP that they saw or spoke to. </w:t>
            </w:r>
          </w:p>
          <w:p w:rsidR="008352FD" w:rsidRDefault="00C1710B">
            <w:r>
              <w:lastRenderedPageBreak/>
              <w:t>MT- stated that he liked the continuity of care that he had received for the last 30 years.</w:t>
            </w:r>
          </w:p>
          <w:p w:rsidR="008352FD" w:rsidRDefault="008352FD"/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Overall satisfaction 82% of patients overall were satisfied with the practice and described their experience as g</w:t>
            </w:r>
            <w:r>
              <w:rPr>
                <w:sz w:val="20"/>
                <w:szCs w:val="20"/>
              </w:rPr>
              <w:t>ood which was above the local average of 79%.</w:t>
            </w:r>
          </w:p>
          <w:p w:rsidR="008352FD" w:rsidRDefault="008352FD">
            <w:pPr>
              <w:pStyle w:val="NoSpacing"/>
              <w:jc w:val="both"/>
            </w:pPr>
          </w:p>
          <w:p w:rsidR="008352FD" w:rsidRDefault="00C1710B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LS – </w:t>
            </w:r>
            <w:proofErr w:type="gramStart"/>
            <w:r>
              <w:rPr>
                <w:sz w:val="20"/>
                <w:szCs w:val="20"/>
              </w:rPr>
              <w:t>commented</w:t>
            </w:r>
            <w:proofErr w:type="gramEnd"/>
            <w:r>
              <w:rPr>
                <w:sz w:val="20"/>
                <w:szCs w:val="20"/>
              </w:rPr>
              <w:t xml:space="preserve"> that although she has not had to attend surgery that often, overall she was satisfied with her experiences at the surgery.</w:t>
            </w:r>
          </w:p>
          <w:p w:rsidR="00C1710B" w:rsidRDefault="00C1710B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LB- commented that perhaps it would be good to have a wall mounted soap dispenser rather than a free standing one.</w:t>
            </w:r>
          </w:p>
          <w:p w:rsidR="00C1710B" w:rsidRDefault="00C1710B">
            <w:pPr>
              <w:pStyle w:val="NoSpacing"/>
              <w:jc w:val="both"/>
            </w:pPr>
          </w:p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SD summarised the following practice complaints procedure:</w:t>
            </w:r>
          </w:p>
          <w:p w:rsidR="008352FD" w:rsidRDefault="00C1710B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rPr>
                <w:sz w:val="20"/>
                <w:szCs w:val="20"/>
              </w:rPr>
              <w:t>All complain</w:t>
            </w:r>
            <w:r>
              <w:rPr>
                <w:sz w:val="20"/>
                <w:szCs w:val="20"/>
              </w:rPr>
              <w:t>ts are responded to within 3 working days</w:t>
            </w:r>
          </w:p>
          <w:p w:rsidR="008352FD" w:rsidRDefault="00C1710B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rPr>
                <w:sz w:val="20"/>
                <w:szCs w:val="20"/>
              </w:rPr>
              <w:t>Patients are offered a meeting at the surgery in order to resolve the complaint.</w:t>
            </w:r>
          </w:p>
          <w:p w:rsidR="008352FD" w:rsidRDefault="008352FD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</w:pPr>
          </w:p>
          <w:p w:rsidR="008352FD" w:rsidRDefault="008352FD">
            <w:pPr>
              <w:pStyle w:val="NoSpacing"/>
            </w:pPr>
          </w:p>
          <w:p w:rsidR="008352FD" w:rsidRDefault="008352FD">
            <w:pPr>
              <w:pStyle w:val="NoSpacing"/>
            </w:pPr>
          </w:p>
          <w:p w:rsidR="008352FD" w:rsidRDefault="008352FD">
            <w:pPr>
              <w:pStyle w:val="NoSpacing"/>
            </w:pPr>
          </w:p>
          <w:p w:rsidR="008352FD" w:rsidRDefault="008352FD">
            <w:pPr>
              <w:pStyle w:val="NoSpacing"/>
            </w:pPr>
          </w:p>
          <w:p w:rsidR="008352FD" w:rsidRDefault="008352FD">
            <w:pPr>
              <w:pStyle w:val="NoSpacing"/>
            </w:pPr>
          </w:p>
          <w:p w:rsidR="008352FD" w:rsidRDefault="00C1710B">
            <w:pPr>
              <w:pStyle w:val="NoSpacing"/>
            </w:pPr>
            <w:r>
              <w:rPr>
                <w:sz w:val="20"/>
                <w:szCs w:val="20"/>
              </w:rPr>
              <w:t>SD to evaluate options and implement most suitable.</w:t>
            </w: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lastRenderedPageBreak/>
              <w:t>Patient online access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SD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proofErr w:type="gramStart"/>
            <w:r>
              <w:rPr>
                <w:sz w:val="20"/>
                <w:szCs w:val="20"/>
              </w:rPr>
              <w:t>SD  informed</w:t>
            </w:r>
            <w:proofErr w:type="gramEnd"/>
            <w:r>
              <w:rPr>
                <w:sz w:val="20"/>
                <w:szCs w:val="20"/>
              </w:rPr>
              <w:t xml:space="preserve"> the group that the practice were </w:t>
            </w:r>
            <w:r>
              <w:rPr>
                <w:sz w:val="20"/>
                <w:szCs w:val="20"/>
              </w:rPr>
              <w:t>trying to increase patient online access at the surgery to up to 10% by March 2017.</w:t>
            </w:r>
          </w:p>
          <w:p w:rsidR="008352FD" w:rsidRDefault="008352FD">
            <w:pPr>
              <w:pStyle w:val="NoSpacing"/>
              <w:jc w:val="both"/>
            </w:pPr>
          </w:p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MT discussed his experience of using patient access and was in favour of using the system. He liked the fact that he could book his appointment online without having to go</w:t>
            </w:r>
            <w:r>
              <w:rPr>
                <w:sz w:val="20"/>
                <w:szCs w:val="20"/>
              </w:rPr>
              <w:t xml:space="preserve"> through reception.</w:t>
            </w:r>
          </w:p>
          <w:p w:rsidR="008352FD" w:rsidRDefault="008352FD">
            <w:pPr>
              <w:pStyle w:val="NoSpacing"/>
              <w:jc w:val="both"/>
            </w:pPr>
          </w:p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 xml:space="preserve">The practice will be looking to encourage the usage of patient access through posters. Southwark CCG will also be providing the practice workshops to provide practice staff with training. </w:t>
            </w:r>
          </w:p>
          <w:p w:rsidR="008352FD" w:rsidRDefault="008352FD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SD and practice staff</w:t>
            </w: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 xml:space="preserve">Patient </w:t>
            </w:r>
            <w:r>
              <w:rPr>
                <w:sz w:val="20"/>
                <w:szCs w:val="20"/>
              </w:rPr>
              <w:t>calling board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SD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An application has been made through the Improvement grant scheme to try and acquire a patient calling board and the practice will be informed of the decision by March 2017.</w:t>
            </w: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SD to report result of application.</w:t>
            </w: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</w:tr>
      <w:tr w:rsidR="008352FD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 xml:space="preserve">AOB – date of </w:t>
            </w:r>
            <w:r>
              <w:rPr>
                <w:sz w:val="20"/>
                <w:szCs w:val="20"/>
              </w:rPr>
              <w:t>next meeting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C1710B">
            <w:pPr>
              <w:pStyle w:val="NoSpacing"/>
              <w:jc w:val="both"/>
            </w:pPr>
            <w:r>
              <w:rPr>
                <w:sz w:val="20"/>
                <w:szCs w:val="20"/>
              </w:rPr>
              <w:t>AOB items:</w:t>
            </w:r>
          </w:p>
          <w:p w:rsidR="008352FD" w:rsidRDefault="008352FD">
            <w:pPr>
              <w:pStyle w:val="NoSpacing"/>
              <w:jc w:val="both"/>
            </w:pPr>
          </w:p>
          <w:p w:rsidR="008352FD" w:rsidRDefault="00C1710B">
            <w:pPr>
              <w:pStyle w:val="NoSpacing"/>
              <w:jc w:val="both"/>
            </w:pPr>
            <w:r>
              <w:rPr>
                <w:b/>
                <w:sz w:val="20"/>
                <w:szCs w:val="20"/>
              </w:rPr>
              <w:t>The next meeting will be in January/February 2017- email will be cascaded to the group nearer the time.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  <w:p w:rsidR="008352FD" w:rsidRDefault="008352FD">
            <w:pPr>
              <w:pStyle w:val="NoSpacing"/>
              <w:jc w:val="both"/>
            </w:pPr>
          </w:p>
        </w:tc>
      </w:tr>
    </w:tbl>
    <w:p w:rsidR="008352FD" w:rsidRDefault="008352FD">
      <w:pPr>
        <w:pStyle w:val="NoSpacing"/>
        <w:jc w:val="both"/>
      </w:pPr>
      <w:bookmarkStart w:id="1" w:name="_GoBack"/>
      <w:bookmarkEnd w:id="1"/>
    </w:p>
    <w:sectPr w:rsidR="008352FD">
      <w:pgSz w:w="15840" w:h="12240" w:orient="landscape"/>
      <w:pgMar w:top="993" w:right="1440" w:bottom="1134" w:left="144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5CFA"/>
    <w:multiLevelType w:val="multilevel"/>
    <w:tmpl w:val="613468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1504EC"/>
    <w:multiLevelType w:val="multilevel"/>
    <w:tmpl w:val="E3A86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FD"/>
    <w:rsid w:val="008352FD"/>
    <w:rsid w:val="00C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/>
      <w:color w:val="00000A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GB" w:eastAsia="en-GB" w:bidi="en-GB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/>
      <w:color w:val="00000A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GB" w:eastAsia="en-GB" w:bidi="en-GB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kate.mangnall</dc:creator>
  <cp:lastModifiedBy>Saud Doha</cp:lastModifiedBy>
  <cp:revision>2</cp:revision>
  <cp:lastPrinted>2015-08-18T09:12:00Z</cp:lastPrinted>
  <dcterms:created xsi:type="dcterms:W3CDTF">2017-01-16T11:01:00Z</dcterms:created>
  <dcterms:modified xsi:type="dcterms:W3CDTF">2017-01-16T11:01:00Z</dcterms:modified>
</cp:coreProperties>
</file>